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313" w:rsidRDefault="008D027A" w:rsidP="007972B8">
      <w:pPr>
        <w:spacing w:after="0" w:line="240" w:lineRule="auto"/>
        <w:jc w:val="center"/>
      </w:pPr>
      <w:r w:rsidRPr="008D027A">
        <w:t>Pain Management in Patients with Chronic Kidney Disease</w:t>
      </w:r>
    </w:p>
    <w:p w:rsidR="008D027A" w:rsidRDefault="008D027A" w:rsidP="007972B8">
      <w:pPr>
        <w:spacing w:after="0" w:line="240" w:lineRule="auto"/>
        <w:jc w:val="center"/>
      </w:pPr>
      <w:r>
        <w:t>Clinical Pearl</w:t>
      </w:r>
    </w:p>
    <w:p w:rsidR="008D027A" w:rsidRDefault="008D027A" w:rsidP="007972B8">
      <w:pPr>
        <w:spacing w:after="0" w:line="240" w:lineRule="auto"/>
        <w:jc w:val="center"/>
      </w:pPr>
      <w:r>
        <w:t>AAHP Fall Seminar October 2018</w:t>
      </w:r>
    </w:p>
    <w:p w:rsidR="008D027A" w:rsidRDefault="008D027A" w:rsidP="008D027A">
      <w:r>
        <w:t>Valuable tools:</w:t>
      </w:r>
    </w:p>
    <w:p w:rsidR="008D027A" w:rsidRDefault="008D027A" w:rsidP="008D027A">
      <w:pPr>
        <w:pStyle w:val="ListParagraph"/>
        <w:numPr>
          <w:ilvl w:val="0"/>
          <w:numId w:val="1"/>
        </w:numPr>
      </w:pPr>
      <w:r w:rsidRPr="008D027A">
        <w:t>The Risk Index for Overdose or Serious Opioid-Induced Respiratory Depression (RIOSORD)</w:t>
      </w:r>
      <w:r>
        <w:t xml:space="preserve"> – online download/printable</w:t>
      </w:r>
    </w:p>
    <w:p w:rsidR="008D027A" w:rsidRDefault="008D027A" w:rsidP="008D027A">
      <w:pPr>
        <w:pStyle w:val="ListParagraph"/>
        <w:numPr>
          <w:ilvl w:val="0"/>
          <w:numId w:val="1"/>
        </w:numPr>
      </w:pPr>
      <w:r>
        <w:t xml:space="preserve">Opioid </w:t>
      </w:r>
      <w:proofErr w:type="spellStart"/>
      <w:r>
        <w:t>Calc</w:t>
      </w:r>
      <w:proofErr w:type="spellEnd"/>
      <w:r>
        <w:t xml:space="preserve"> App  - Free app for morphine equivalent calculations</w:t>
      </w:r>
    </w:p>
    <w:p w:rsidR="008D027A" w:rsidRDefault="008D027A" w:rsidP="008D027A">
      <w:pPr>
        <w:pStyle w:val="ListParagraph"/>
        <w:numPr>
          <w:ilvl w:val="0"/>
          <w:numId w:val="1"/>
        </w:numPr>
      </w:pPr>
      <w:r>
        <w:t xml:space="preserve">CDC Opioid Guideline App - </w:t>
      </w:r>
      <w:r>
        <w:t xml:space="preserve">Free app for </w:t>
      </w:r>
      <w:r>
        <w:t>morphine equivalent calculation</w:t>
      </w:r>
    </w:p>
    <w:tbl>
      <w:tblPr>
        <w:tblW w:w="5008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78"/>
        <w:gridCol w:w="7227"/>
      </w:tblGrid>
      <w:tr w:rsidR="008D027A" w:rsidRPr="008D027A" w:rsidTr="008D027A">
        <w:trPr>
          <w:trHeight w:val="879"/>
        </w:trPr>
        <w:tc>
          <w:tcPr>
            <w:tcW w:w="115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FFFFFF"/>
                <w:position w:val="1"/>
                <w:sz w:val="24"/>
                <w:szCs w:val="24"/>
              </w:rPr>
              <w:t xml:space="preserve">General </w:t>
            </w:r>
            <w:r w:rsidRPr="008D027A">
              <w:rPr>
                <w:rFonts w:eastAsia="Times New Roman" w:cs="Times New Roman"/>
                <w:b/>
                <w:bCs/>
                <w:color w:val="FFFFFF"/>
                <w:position w:val="1"/>
                <w:sz w:val="24"/>
                <w:szCs w:val="24"/>
              </w:rPr>
              <w:t>Principle</w:t>
            </w:r>
          </w:p>
        </w:tc>
        <w:tc>
          <w:tcPr>
            <w:tcW w:w="384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D027A" w:rsidRPr="008D027A" w:rsidRDefault="008D027A" w:rsidP="008D027A">
            <w:pPr>
              <w:spacing w:before="120" w:after="0" w:line="240" w:lineRule="auto"/>
              <w:jc w:val="center"/>
              <w:rPr>
                <w:rFonts w:eastAsia="Times New Roman" w:cs="Arial"/>
                <w:sz w:val="28"/>
                <w:szCs w:val="28"/>
              </w:rPr>
            </w:pPr>
            <w:r w:rsidRPr="008D027A">
              <w:rPr>
                <w:rFonts w:eastAsia="Times New Roman" w:cs="Times New Roman"/>
                <w:b/>
                <w:bCs/>
                <w:color w:val="FFFFFF"/>
                <w:position w:val="1"/>
                <w:sz w:val="28"/>
                <w:szCs w:val="28"/>
              </w:rPr>
              <w:t>Specific consideration in CKD</w:t>
            </w:r>
          </w:p>
        </w:tc>
      </w:tr>
      <w:tr w:rsidR="008D027A" w:rsidRPr="008D027A" w:rsidTr="008D027A">
        <w:trPr>
          <w:trHeight w:val="1119"/>
        </w:trPr>
        <w:tc>
          <w:tcPr>
            <w:tcW w:w="115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By mouth</w:t>
            </w:r>
          </w:p>
        </w:tc>
        <w:tc>
          <w:tcPr>
            <w:tcW w:w="384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</w:rPr>
              <w:t xml:space="preserve">Hemodialysis patients have easy IV access. However, this is to be avoided as the route of administration for analgesics for chronic pain management. </w:t>
            </w:r>
            <w:r w:rsidRPr="008D027A">
              <w:rPr>
                <w:rFonts w:eastAsia="Times New Roman" w:cs="Times New Roman"/>
                <w:color w:val="000000"/>
              </w:rPr>
              <w:br/>
              <w:t>Oral/transdermal routes are preferred.</w:t>
            </w:r>
          </w:p>
        </w:tc>
      </w:tr>
      <w:tr w:rsidR="008D027A" w:rsidRPr="008D027A" w:rsidTr="008D027A">
        <w:trPr>
          <w:trHeight w:val="865"/>
        </w:trPr>
        <w:tc>
          <w:tcPr>
            <w:tcW w:w="11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By the clock</w:t>
            </w:r>
          </w:p>
        </w:tc>
        <w:tc>
          <w:tcPr>
            <w:tcW w:w="38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</w:rPr>
              <w:t xml:space="preserve">Some patients with mild pain may achieve adequate pain relief with analgesic dosed post-hemodialysis only. </w:t>
            </w:r>
          </w:p>
        </w:tc>
      </w:tr>
      <w:tr w:rsidR="008D027A" w:rsidRPr="008D027A" w:rsidTr="008D027A">
        <w:trPr>
          <w:trHeight w:val="1119"/>
        </w:trPr>
        <w:tc>
          <w:tcPr>
            <w:tcW w:w="11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By the ladder</w:t>
            </w:r>
          </w:p>
        </w:tc>
        <w:tc>
          <w:tcPr>
            <w:tcW w:w="38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</w:rPr>
              <w:t xml:space="preserve">Careful selection of analgesics for each step of the ladder, taking into account the degree of kidney failure, is critical. </w:t>
            </w:r>
            <w:r w:rsidRPr="008D027A">
              <w:rPr>
                <w:rFonts w:eastAsia="Times New Roman" w:cs="Times New Roman"/>
                <w:color w:val="000000"/>
              </w:rPr>
              <w:br/>
            </w:r>
            <w:r w:rsidRPr="008D027A">
              <w:rPr>
                <w:rFonts w:eastAsia="Times New Roman" w:cs="Times New Roman"/>
                <w:b/>
                <w:bCs/>
                <w:color w:val="000000"/>
                <w:u w:val="single"/>
              </w:rPr>
              <w:t>Sustained released preparations are not recommended in CKD</w:t>
            </w:r>
          </w:p>
        </w:tc>
      </w:tr>
      <w:tr w:rsidR="008D027A" w:rsidRPr="008D027A" w:rsidTr="008D027A">
        <w:trPr>
          <w:trHeight w:val="1119"/>
        </w:trPr>
        <w:tc>
          <w:tcPr>
            <w:tcW w:w="11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For the individual</w:t>
            </w:r>
          </w:p>
        </w:tc>
        <w:tc>
          <w:tcPr>
            <w:tcW w:w="38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</w:rPr>
              <w:t>Chronic pain is often experienced in the context of multiple other concerns, including end of life issues and should be addressed as part of the pain management strategy.</w:t>
            </w:r>
          </w:p>
        </w:tc>
      </w:tr>
      <w:tr w:rsidR="008D027A" w:rsidRPr="008D027A" w:rsidTr="008D027A">
        <w:trPr>
          <w:trHeight w:val="908"/>
        </w:trPr>
        <w:tc>
          <w:tcPr>
            <w:tcW w:w="11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Attention to detail</w:t>
            </w:r>
          </w:p>
        </w:tc>
        <w:tc>
          <w:tcPr>
            <w:tcW w:w="38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</w:rPr>
              <w:t>Regular reassessment</w:t>
            </w:r>
          </w:p>
        </w:tc>
      </w:tr>
    </w:tbl>
    <w:p w:rsidR="008D027A" w:rsidRDefault="008D027A" w:rsidP="008D027A">
      <w:proofErr w:type="spellStart"/>
      <w:r>
        <w:t>Uptodate</w:t>
      </w:r>
      <w:proofErr w:type="spellEnd"/>
      <w:r>
        <w:t xml:space="preserve"> accessed August 2018</w:t>
      </w:r>
    </w:p>
    <w:tbl>
      <w:tblPr>
        <w:tblW w:w="4759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43"/>
        <w:gridCol w:w="2493"/>
        <w:gridCol w:w="2563"/>
        <w:gridCol w:w="2238"/>
      </w:tblGrid>
      <w:tr w:rsidR="007972B8" w:rsidRPr="008D027A" w:rsidTr="007972B8">
        <w:trPr>
          <w:trHeight w:val="265"/>
        </w:trPr>
        <w:tc>
          <w:tcPr>
            <w:tcW w:w="91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b/>
                <w:bCs/>
                <w:color w:val="FFFFFF"/>
                <w:position w:val="1"/>
              </w:rPr>
              <w:t>WHO Step</w:t>
            </w:r>
          </w:p>
        </w:tc>
        <w:tc>
          <w:tcPr>
            <w:tcW w:w="139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b/>
                <w:bCs/>
                <w:color w:val="FFFFFF"/>
                <w:position w:val="1"/>
              </w:rPr>
              <w:t>Recommended</w:t>
            </w:r>
          </w:p>
        </w:tc>
        <w:tc>
          <w:tcPr>
            <w:tcW w:w="143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CC99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b/>
                <w:bCs/>
                <w:color w:val="FFFFFF"/>
                <w:position w:val="1"/>
              </w:rPr>
              <w:t>Use with caution</w:t>
            </w:r>
          </w:p>
        </w:tc>
        <w:tc>
          <w:tcPr>
            <w:tcW w:w="125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7A7A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b/>
                <w:bCs/>
                <w:color w:val="FFFFFF"/>
                <w:position w:val="1"/>
              </w:rPr>
              <w:t>Do not use</w:t>
            </w:r>
          </w:p>
        </w:tc>
      </w:tr>
      <w:tr w:rsidR="007972B8" w:rsidRPr="008D027A" w:rsidTr="007972B8">
        <w:trPr>
          <w:trHeight w:val="265"/>
        </w:trPr>
        <w:tc>
          <w:tcPr>
            <w:tcW w:w="91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1 (Mild)</w:t>
            </w:r>
          </w:p>
        </w:tc>
        <w:tc>
          <w:tcPr>
            <w:tcW w:w="13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Acetaminophen</w:t>
            </w:r>
          </w:p>
        </w:tc>
        <w:tc>
          <w:tcPr>
            <w:tcW w:w="143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2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NSAIDs</w:t>
            </w:r>
          </w:p>
        </w:tc>
      </w:tr>
      <w:tr w:rsidR="007972B8" w:rsidRPr="008D027A" w:rsidTr="007972B8">
        <w:trPr>
          <w:trHeight w:val="265"/>
        </w:trPr>
        <w:tc>
          <w:tcPr>
            <w:tcW w:w="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2 (Mild to Moderate)</w:t>
            </w:r>
          </w:p>
        </w:tc>
        <w:tc>
          <w:tcPr>
            <w:tcW w:w="13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after="0" w:line="240" w:lineRule="auto"/>
              <w:rPr>
                <w:rFonts w:eastAsia="Times New Roman" w:cs="Arial"/>
              </w:rPr>
            </w:pPr>
          </w:p>
        </w:tc>
        <w:tc>
          <w:tcPr>
            <w:tcW w:w="14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Tramadol</w:t>
            </w:r>
          </w:p>
        </w:tc>
        <w:tc>
          <w:tcPr>
            <w:tcW w:w="12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Codeine</w:t>
            </w:r>
          </w:p>
        </w:tc>
      </w:tr>
      <w:tr w:rsidR="007972B8" w:rsidRPr="008D027A" w:rsidTr="007972B8">
        <w:trPr>
          <w:trHeight w:val="265"/>
        </w:trPr>
        <w:tc>
          <w:tcPr>
            <w:tcW w:w="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3 (Moderate to Severe)</w:t>
            </w:r>
          </w:p>
        </w:tc>
        <w:tc>
          <w:tcPr>
            <w:tcW w:w="13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 xml:space="preserve">Hydromorphone, Fentanyl, Methadone, </w:t>
            </w:r>
            <w:proofErr w:type="spellStart"/>
            <w:r w:rsidRPr="008D027A">
              <w:rPr>
                <w:rFonts w:eastAsia="Times New Roman" w:cs="Times New Roman"/>
                <w:color w:val="000000"/>
                <w:position w:val="1"/>
              </w:rPr>
              <w:t>Buprenophine</w:t>
            </w:r>
            <w:proofErr w:type="spellEnd"/>
          </w:p>
        </w:tc>
        <w:tc>
          <w:tcPr>
            <w:tcW w:w="14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C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Oxycodone</w:t>
            </w:r>
          </w:p>
        </w:tc>
        <w:tc>
          <w:tcPr>
            <w:tcW w:w="12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Morphine, Meperidine</w:t>
            </w:r>
          </w:p>
        </w:tc>
      </w:tr>
      <w:tr w:rsidR="007972B8" w:rsidRPr="008D027A" w:rsidTr="007972B8">
        <w:trPr>
          <w:trHeight w:val="265"/>
        </w:trPr>
        <w:tc>
          <w:tcPr>
            <w:tcW w:w="91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Adjuvants</w:t>
            </w:r>
          </w:p>
        </w:tc>
        <w:tc>
          <w:tcPr>
            <w:tcW w:w="13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Gabapentin</w:t>
            </w:r>
            <w:r w:rsidRPr="008D027A">
              <w:rPr>
                <w:rFonts w:eastAsia="Times New Roman" w:cs="Times New Roman"/>
                <w:color w:val="000000"/>
                <w:position w:val="1"/>
              </w:rPr>
              <w:br/>
            </w:r>
            <w:proofErr w:type="spellStart"/>
            <w:r w:rsidRPr="008D027A">
              <w:rPr>
                <w:rFonts w:eastAsia="Times New Roman" w:cs="Times New Roman"/>
                <w:color w:val="000000"/>
                <w:position w:val="1"/>
              </w:rPr>
              <w:t>Pregabalin</w:t>
            </w:r>
            <w:proofErr w:type="spellEnd"/>
          </w:p>
        </w:tc>
        <w:tc>
          <w:tcPr>
            <w:tcW w:w="14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F6E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before="120" w:after="0" w:line="240" w:lineRule="auto"/>
              <w:rPr>
                <w:rFonts w:eastAsia="Times New Roman" w:cs="Arial"/>
              </w:rPr>
            </w:pPr>
            <w:r w:rsidRPr="008D027A">
              <w:rPr>
                <w:rFonts w:eastAsia="Times New Roman" w:cs="Times New Roman"/>
                <w:color w:val="000000"/>
                <w:position w:val="1"/>
              </w:rPr>
              <w:t>TCAs</w:t>
            </w:r>
            <w:r w:rsidRPr="008D027A">
              <w:rPr>
                <w:rFonts w:eastAsia="Times New Roman" w:cs="Times New Roman"/>
                <w:color w:val="000000"/>
                <w:position w:val="1"/>
              </w:rPr>
              <w:br/>
              <w:t>SNRIs</w:t>
            </w:r>
          </w:p>
        </w:tc>
        <w:tc>
          <w:tcPr>
            <w:tcW w:w="12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DDDDD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D027A" w:rsidRPr="008D027A" w:rsidRDefault="008D027A" w:rsidP="008D027A">
            <w:pPr>
              <w:spacing w:after="0" w:line="240" w:lineRule="auto"/>
              <w:rPr>
                <w:rFonts w:eastAsia="Times New Roman" w:cs="Arial"/>
              </w:rPr>
            </w:pPr>
          </w:p>
        </w:tc>
      </w:tr>
    </w:tbl>
    <w:p w:rsidR="008D027A" w:rsidRDefault="007972B8" w:rsidP="008D027A">
      <w:proofErr w:type="spellStart"/>
      <w:r>
        <w:t>Uptodate</w:t>
      </w:r>
      <w:proofErr w:type="spellEnd"/>
      <w:r>
        <w:t xml:space="preserve"> accessed August 2018</w:t>
      </w:r>
    </w:p>
    <w:p w:rsidR="007972B8" w:rsidRDefault="007972B8" w:rsidP="008D027A">
      <w:r w:rsidRPr="007972B8">
        <w:lastRenderedPageBreak/>
        <w:drawing>
          <wp:inline distT="0" distB="0" distL="0" distR="0" wp14:anchorId="58DEEA16" wp14:editId="7AC739A9">
            <wp:extent cx="5943600" cy="3231515"/>
            <wp:effectExtent l="0" t="0" r="0" b="6985"/>
            <wp:docPr id="109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:rsidR="007972B8" w:rsidRDefault="007972B8" w:rsidP="008D027A">
      <w:bookmarkStart w:id="0" w:name="_GoBack"/>
      <w:bookmarkEnd w:id="0"/>
    </w:p>
    <w:sectPr w:rsidR="007972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75BC6"/>
    <w:multiLevelType w:val="hybridMultilevel"/>
    <w:tmpl w:val="012A2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27A"/>
    <w:rsid w:val="003F0B00"/>
    <w:rsid w:val="005E3330"/>
    <w:rsid w:val="007972B8"/>
    <w:rsid w:val="008D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0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0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6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 River Health System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Wagner</dc:creator>
  <cp:lastModifiedBy>Emily Wagner</cp:lastModifiedBy>
  <cp:revision>1</cp:revision>
  <dcterms:created xsi:type="dcterms:W3CDTF">2018-09-13T15:11:00Z</dcterms:created>
  <dcterms:modified xsi:type="dcterms:W3CDTF">2018-09-13T15:35:00Z</dcterms:modified>
</cp:coreProperties>
</file>